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43A" w:rsidRPr="006C7ECC" w:rsidRDefault="003B643A" w:rsidP="003B643A">
      <w:pPr>
        <w:pStyle w:val="CTtolexpedient"/>
      </w:pPr>
      <w:bookmarkStart w:id="0" w:name="_GoBack"/>
      <w:bookmarkEnd w:id="0"/>
      <w:r w:rsidRPr="006C7ECC">
        <w:t>Moció 54/XV del Parlament de Catalunya, sobre l’acord de lliure comerç entre la Unió Europea i Mercosur</w:t>
      </w:r>
    </w:p>
    <w:p w:rsidR="003B643A" w:rsidRPr="006C7ECC" w:rsidRDefault="003B643A" w:rsidP="003B643A">
      <w:pPr>
        <w:pStyle w:val="CTramnm"/>
      </w:pPr>
      <w:r w:rsidRPr="006C7ECC">
        <w:t>302-00066/15</w:t>
      </w:r>
    </w:p>
    <w:p w:rsidR="003B643A" w:rsidRPr="006C7ECC" w:rsidRDefault="003B643A" w:rsidP="003B643A">
      <w:pPr>
        <w:pStyle w:val="CTrmit"/>
      </w:pPr>
      <w:r w:rsidRPr="006C7ECC">
        <w:t>Aprovació</w:t>
      </w:r>
    </w:p>
    <w:p w:rsidR="003B643A" w:rsidRDefault="003B643A" w:rsidP="003B643A">
      <w:pPr>
        <w:pStyle w:val="CTrmitdades"/>
      </w:pPr>
      <w:r w:rsidRPr="006C7ECC">
        <w:t>Ple del Parlament, sessió 19, 13.03.2025, DSPC-P 32</w:t>
      </w:r>
    </w:p>
    <w:p w:rsidR="003B643A" w:rsidRPr="003B643A" w:rsidRDefault="003B643A" w:rsidP="003B643A">
      <w:pPr>
        <w:pStyle w:val="CTramnm"/>
      </w:pPr>
      <w:r>
        <w:t>Publicació: BOPC 183</w:t>
      </w:r>
    </w:p>
    <w:p w:rsidR="003B643A" w:rsidRPr="006C7ECC" w:rsidRDefault="003B643A" w:rsidP="003B643A">
      <w:pPr>
        <w:pStyle w:val="NNormalespai"/>
        <w:rPr>
          <w:lang w:eastAsia="ca-ES"/>
        </w:rPr>
      </w:pPr>
      <w:r w:rsidRPr="006C7ECC">
        <w:rPr>
          <w:lang w:eastAsia="ca-ES"/>
        </w:rPr>
        <w:t>El Ple del Parlament, en la sessió tinguda el 13 de març de 2025, d’acord amb l’article 161 del Reglament, ha debatut la Moció subsegüent a la interpel·lació al ­Govern sobre l’acord de lliure comerç entre la Unió Europea i Mercosur (tram. 302-00066/15), presentada per la diputada Montserrat Bergés i Saura, del Grup Parlamentari d’Esquerra Republicana de Catalunya, i les esmenes presentades pel Grup Parlamentari de la Candidatura d’Unitat Popular - Defensem la Terra (reg. 27992), pel Grup Parlamentari de VOX en Cataluña (reg. 28045), pel Grup Parlamentari de Junts (reg. 28050) i pel Grup Parlamentari Socialistes i Units per Avançar (reg. 28054).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>Finalment, d’acord amb el que estableix l’article 161 del Reglament, ha aprovat la següent</w:t>
      </w:r>
    </w:p>
    <w:p w:rsidR="003B643A" w:rsidRPr="006C7ECC" w:rsidRDefault="003B643A" w:rsidP="003B643A">
      <w:pPr>
        <w:pStyle w:val="NTtolprincipal"/>
      </w:pPr>
      <w:r w:rsidRPr="006C7ECC">
        <w:t>Moció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 xml:space="preserve">1. El Parlament de Catalunya manifesta: 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>a) Que rebutja explícitament l’acord de lliure comerç entre la Unió Europea i Mercosur en els termes en què està definit, per les greus conseqüències i els greuges que representarà per a les petites i mitjanes explotacions agràries i ramaderes catalanes i europees en termes de viabilitat i competitivitat econòmica de llur activitat i perquè posa en risc tant llur funció essencial en el proveïment d’aliments com llur funció social i mediambiental en la gestió i custòdia del territori.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>b) Que el model de petites i mitjanes explotacions arrelades al territori és un model que cal preservar, amb la priorització de polítiques públiques que contribueixin a dignificar-lo socialment i a fer-lo sostenible ambientalment i rendible econòmicament.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 xml:space="preserve">2. El Parlament de Catalunya insta el Govern a: 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>a) Oposar-se d’una manera inequívoca als termes actuals de l’acord entre la Unió Europea i Mercosur i a defensar fermament, d’una banda, els interessos de la pagesia catalana davant la competència deslleial, i, de l’altra, la garantia efectiva dels estàndards mediambientals, fitosanitaris i laborals, amb l’objectiu d’evitar riscos per a la salut de les persones i desigualtats socials entre territoris i comunitats humanes.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>b) Prioritzar les polítiques públiques que promoguin efectivament la sobirania alimentària, entesa com el dret dels pobles a determinar les polítiques alimentàries que els afecten, decidint i essent sobirans amb relació a la producció, la distribució i el consum d’aliments, a tenir dret i accés a la terra i a poder alimentar-se de forma sana i saludable, decidint també sobre les condicions socioeconòmiques i ambientals que determinen aquestes relacions entre totes les baules de la cadena alimentària.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>c) Demanar al Govern de l’Estat espanyol que promogui una minoria de bloqueig al Consell Europeu amb relació a l’actual acord entre la Unió Europea i Mercosur.</w:t>
      </w:r>
    </w:p>
    <w:p w:rsidR="003B643A" w:rsidRPr="006C7ECC" w:rsidRDefault="003B643A" w:rsidP="003B643A">
      <w:pPr>
        <w:pStyle w:val="NNormal"/>
        <w:rPr>
          <w:lang w:eastAsia="ca-ES"/>
        </w:rPr>
      </w:pPr>
      <w:r w:rsidRPr="006C7ECC">
        <w:rPr>
          <w:lang w:eastAsia="ca-ES"/>
        </w:rPr>
        <w:t>d) Demanar al Govern de l’Estat espanyol que promogui un model de relacions comercials i polítiques entre la Unió Europea i la resta del món que garanteixi els drets socials, les llibertats civils, la protecció del medi ambient i la salut de les persones i que penalitzi el dúmping fiscal, evitant que els costos i beneficis siguin molt desiguals en funció de la part del món on es localitzi l’activitat.</w:t>
      </w:r>
    </w:p>
    <w:p w:rsidR="003B643A" w:rsidRPr="006C7ECC" w:rsidRDefault="003B643A" w:rsidP="003B643A">
      <w:pPr>
        <w:pStyle w:val="PData"/>
      </w:pPr>
      <w:r w:rsidRPr="006C7ECC">
        <w:t>Palau del Parlament, 13 de març de 2025</w:t>
      </w:r>
    </w:p>
    <w:p w:rsidR="003B643A" w:rsidRPr="006C7ECC" w:rsidRDefault="003B643A" w:rsidP="003B643A">
      <w:pPr>
        <w:pStyle w:val="PSignatura"/>
      </w:pPr>
      <w:r w:rsidRPr="006C7ECC">
        <w:t>La secretària tercera, Rosa Maria Ibarra Ollé; el president, Josep Rull i Andreu</w:t>
      </w:r>
    </w:p>
    <w:p w:rsidR="005B50D5" w:rsidRPr="003B643A" w:rsidRDefault="005B50D5" w:rsidP="003B643A"/>
    <w:sectPr w:rsidR="005B50D5" w:rsidRPr="003B643A" w:rsidSect="003B643A">
      <w:headerReference w:type="default" r:id="rId8"/>
      <w:footerReference w:type="default" r:id="rId9"/>
      <w:pgSz w:w="11906" w:h="16838"/>
      <w:pgMar w:top="2835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43A" w:rsidRDefault="003B643A" w:rsidP="003F6A8B">
      <w:r>
        <w:separator/>
      </w:r>
    </w:p>
  </w:endnote>
  <w:endnote w:type="continuationSeparator" w:id="0">
    <w:p w:rsidR="003B643A" w:rsidRDefault="003B643A" w:rsidP="003F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Parlament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T Std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-Parlament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T Light">
    <w:panose1 w:val="02000403040000020004"/>
    <w:charset w:val="00"/>
    <w:family w:val="auto"/>
    <w:pitch w:val="variable"/>
    <w:sig w:usb0="80000027" w:usb1="00000000" w:usb2="00000000" w:usb3="00000000" w:csb0="00000001" w:csb1="00000000"/>
  </w:font>
  <w:font w:name="HelveticaNeueLT Std">
    <w:altName w:val="HelveticaNeueLT Std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8284"/>
      <w:gridCol w:w="436"/>
    </w:tblGrid>
    <w:tr w:rsidR="003B643A" w:rsidTr="003B643A">
      <w:tc>
        <w:tcPr>
          <w:tcW w:w="4750" w:type="pct"/>
          <w:shd w:val="clear" w:color="auto" w:fill="auto"/>
        </w:tcPr>
        <w:p w:rsidR="003B643A" w:rsidRDefault="003B643A">
          <w:pPr>
            <w:pStyle w:val="Piedepgina"/>
          </w:pPr>
          <w:r>
            <w:fldChar w:fldCharType="begin"/>
          </w:r>
          <w:r>
            <w:instrText xml:space="preserve"> TITLE   \* MERGEFORMAT </w:instrText>
          </w:r>
          <w:r>
            <w:fldChar w:fldCharType="separate"/>
          </w:r>
          <w:r>
            <w:t>Moció 54/XV del Parlament de Catalunya, sobre l’acord de lliure comerç entre la Unió Europea i Mercosur</w:t>
          </w:r>
        </w:p>
        <w:p w:rsidR="003B643A" w:rsidRDefault="003B643A" w:rsidP="003B643A">
          <w:pPr>
            <w:pStyle w:val="Piedepgina"/>
          </w:pPr>
          <w:r>
            <w:fldChar w:fldCharType="end"/>
          </w:r>
        </w:p>
      </w:tc>
      <w:tc>
        <w:tcPr>
          <w:tcW w:w="4750" w:type="pct"/>
          <w:shd w:val="clear" w:color="auto" w:fill="auto"/>
        </w:tcPr>
        <w:p w:rsidR="003B643A" w:rsidRDefault="003B643A" w:rsidP="003B643A">
          <w:pPr>
            <w:pStyle w:val="PMPeuNum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:rsidR="003B643A" w:rsidRDefault="003B64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43A" w:rsidRDefault="003B643A" w:rsidP="003F6A8B">
      <w:r>
        <w:separator/>
      </w:r>
    </w:p>
  </w:footnote>
  <w:footnote w:type="continuationSeparator" w:id="0">
    <w:p w:rsidR="003B643A" w:rsidRDefault="003B643A" w:rsidP="003F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099" w:rsidRDefault="00F749C6" w:rsidP="00D33099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>
          <wp:extent cx="2435860" cy="593725"/>
          <wp:effectExtent l="0" t="0" r="2540" b="0"/>
          <wp:docPr id="1" name="Imagen 1" descr="Logotip del Parlament de Catalunya" title="Escut del Parlament de Cataluny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 del Parlament de Cataluny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5860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878C8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8EEE9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FE037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B0823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4EB6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7F653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8D08B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A1F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2613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2AF1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ttachedTemplate r:id="rId1"/>
  <w:linkStyl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43A"/>
    <w:rsid w:val="00001267"/>
    <w:rsid w:val="000277AC"/>
    <w:rsid w:val="00036D68"/>
    <w:rsid w:val="00045A62"/>
    <w:rsid w:val="00054CDA"/>
    <w:rsid w:val="000643F8"/>
    <w:rsid w:val="00084935"/>
    <w:rsid w:val="0008514F"/>
    <w:rsid w:val="00090957"/>
    <w:rsid w:val="00094707"/>
    <w:rsid w:val="000B7792"/>
    <w:rsid w:val="000C287A"/>
    <w:rsid w:val="000D7FE7"/>
    <w:rsid w:val="000E3614"/>
    <w:rsid w:val="000F0750"/>
    <w:rsid w:val="001031EF"/>
    <w:rsid w:val="0010647A"/>
    <w:rsid w:val="0012342E"/>
    <w:rsid w:val="001314E6"/>
    <w:rsid w:val="001348B2"/>
    <w:rsid w:val="00140622"/>
    <w:rsid w:val="00142F48"/>
    <w:rsid w:val="00153F99"/>
    <w:rsid w:val="00156BEF"/>
    <w:rsid w:val="00166C6B"/>
    <w:rsid w:val="001840B2"/>
    <w:rsid w:val="00193A57"/>
    <w:rsid w:val="001A7AA8"/>
    <w:rsid w:val="001B723B"/>
    <w:rsid w:val="001B7B8D"/>
    <w:rsid w:val="001B7F90"/>
    <w:rsid w:val="001C3AC0"/>
    <w:rsid w:val="001C5642"/>
    <w:rsid w:val="001C7AD9"/>
    <w:rsid w:val="001E1A13"/>
    <w:rsid w:val="001F1489"/>
    <w:rsid w:val="001F450A"/>
    <w:rsid w:val="00225002"/>
    <w:rsid w:val="0024544E"/>
    <w:rsid w:val="00256316"/>
    <w:rsid w:val="002601FE"/>
    <w:rsid w:val="00274A03"/>
    <w:rsid w:val="002B195F"/>
    <w:rsid w:val="002B4F2E"/>
    <w:rsid w:val="002C3030"/>
    <w:rsid w:val="002C5178"/>
    <w:rsid w:val="002D1C97"/>
    <w:rsid w:val="002D4F59"/>
    <w:rsid w:val="002E609F"/>
    <w:rsid w:val="003106D8"/>
    <w:rsid w:val="003348C3"/>
    <w:rsid w:val="00342B33"/>
    <w:rsid w:val="00345C9F"/>
    <w:rsid w:val="00350642"/>
    <w:rsid w:val="003562F6"/>
    <w:rsid w:val="00364880"/>
    <w:rsid w:val="003656FF"/>
    <w:rsid w:val="00371942"/>
    <w:rsid w:val="00394BDD"/>
    <w:rsid w:val="00395F4E"/>
    <w:rsid w:val="003A02B8"/>
    <w:rsid w:val="003A6E9F"/>
    <w:rsid w:val="003B643A"/>
    <w:rsid w:val="003C5B30"/>
    <w:rsid w:val="003D06E3"/>
    <w:rsid w:val="003D3D22"/>
    <w:rsid w:val="003D536D"/>
    <w:rsid w:val="003F6A8B"/>
    <w:rsid w:val="00407E7D"/>
    <w:rsid w:val="004267B3"/>
    <w:rsid w:val="00436123"/>
    <w:rsid w:val="00444749"/>
    <w:rsid w:val="00451E39"/>
    <w:rsid w:val="00452530"/>
    <w:rsid w:val="00461CEF"/>
    <w:rsid w:val="004808C5"/>
    <w:rsid w:val="004B69D1"/>
    <w:rsid w:val="004C704F"/>
    <w:rsid w:val="004D5EBA"/>
    <w:rsid w:val="004E3454"/>
    <w:rsid w:val="004F1421"/>
    <w:rsid w:val="004F20FC"/>
    <w:rsid w:val="004F5418"/>
    <w:rsid w:val="0052493F"/>
    <w:rsid w:val="00527B22"/>
    <w:rsid w:val="00530D22"/>
    <w:rsid w:val="00530EB6"/>
    <w:rsid w:val="00540BE1"/>
    <w:rsid w:val="0054437C"/>
    <w:rsid w:val="0054716E"/>
    <w:rsid w:val="00556E41"/>
    <w:rsid w:val="00564E4C"/>
    <w:rsid w:val="00567C3F"/>
    <w:rsid w:val="00572CB6"/>
    <w:rsid w:val="005773FF"/>
    <w:rsid w:val="0058083C"/>
    <w:rsid w:val="00581B25"/>
    <w:rsid w:val="00597B94"/>
    <w:rsid w:val="005A2992"/>
    <w:rsid w:val="005B50D5"/>
    <w:rsid w:val="005B7B9D"/>
    <w:rsid w:val="005C1E39"/>
    <w:rsid w:val="005C53B7"/>
    <w:rsid w:val="005C7E25"/>
    <w:rsid w:val="005D518B"/>
    <w:rsid w:val="005E5816"/>
    <w:rsid w:val="005F0CB6"/>
    <w:rsid w:val="006026C7"/>
    <w:rsid w:val="00615008"/>
    <w:rsid w:val="00616796"/>
    <w:rsid w:val="00640084"/>
    <w:rsid w:val="00654371"/>
    <w:rsid w:val="00657CE1"/>
    <w:rsid w:val="00674E6A"/>
    <w:rsid w:val="0068275F"/>
    <w:rsid w:val="00697A84"/>
    <w:rsid w:val="006E4F89"/>
    <w:rsid w:val="006F031C"/>
    <w:rsid w:val="0070455B"/>
    <w:rsid w:val="007249A8"/>
    <w:rsid w:val="00725E16"/>
    <w:rsid w:val="00732E4E"/>
    <w:rsid w:val="00736F1F"/>
    <w:rsid w:val="007474D0"/>
    <w:rsid w:val="00757E1D"/>
    <w:rsid w:val="007A0E78"/>
    <w:rsid w:val="007A2974"/>
    <w:rsid w:val="007C337B"/>
    <w:rsid w:val="007D54A8"/>
    <w:rsid w:val="008111FA"/>
    <w:rsid w:val="008127DD"/>
    <w:rsid w:val="008154E2"/>
    <w:rsid w:val="008177CC"/>
    <w:rsid w:val="008408E2"/>
    <w:rsid w:val="008424CE"/>
    <w:rsid w:val="00845245"/>
    <w:rsid w:val="008453D8"/>
    <w:rsid w:val="00861326"/>
    <w:rsid w:val="00873260"/>
    <w:rsid w:val="008811D4"/>
    <w:rsid w:val="0088497F"/>
    <w:rsid w:val="00886C0D"/>
    <w:rsid w:val="00897168"/>
    <w:rsid w:val="008C7F55"/>
    <w:rsid w:val="008D33E2"/>
    <w:rsid w:val="008D43AA"/>
    <w:rsid w:val="009321E4"/>
    <w:rsid w:val="00957C32"/>
    <w:rsid w:val="00974A61"/>
    <w:rsid w:val="00980484"/>
    <w:rsid w:val="009944FD"/>
    <w:rsid w:val="00995BF3"/>
    <w:rsid w:val="009A047E"/>
    <w:rsid w:val="009C042B"/>
    <w:rsid w:val="009E28C9"/>
    <w:rsid w:val="00A017F8"/>
    <w:rsid w:val="00A117CA"/>
    <w:rsid w:val="00A21F9E"/>
    <w:rsid w:val="00A24469"/>
    <w:rsid w:val="00A46995"/>
    <w:rsid w:val="00A53B3D"/>
    <w:rsid w:val="00A62FA2"/>
    <w:rsid w:val="00A673FC"/>
    <w:rsid w:val="00A7224D"/>
    <w:rsid w:val="00A7278B"/>
    <w:rsid w:val="00A76EA6"/>
    <w:rsid w:val="00A77D71"/>
    <w:rsid w:val="00A816D3"/>
    <w:rsid w:val="00A90478"/>
    <w:rsid w:val="00AA2D87"/>
    <w:rsid w:val="00AA36DF"/>
    <w:rsid w:val="00AB3549"/>
    <w:rsid w:val="00AB7528"/>
    <w:rsid w:val="00AC3731"/>
    <w:rsid w:val="00AF7B4B"/>
    <w:rsid w:val="00B00B94"/>
    <w:rsid w:val="00B42790"/>
    <w:rsid w:val="00B44097"/>
    <w:rsid w:val="00B56329"/>
    <w:rsid w:val="00B5746C"/>
    <w:rsid w:val="00B92EBD"/>
    <w:rsid w:val="00B97A46"/>
    <w:rsid w:val="00BA2A51"/>
    <w:rsid w:val="00BB4309"/>
    <w:rsid w:val="00BB65BB"/>
    <w:rsid w:val="00BC217E"/>
    <w:rsid w:val="00BC6C77"/>
    <w:rsid w:val="00BC71A9"/>
    <w:rsid w:val="00BD3B8E"/>
    <w:rsid w:val="00BE387C"/>
    <w:rsid w:val="00BE7ACF"/>
    <w:rsid w:val="00BF3178"/>
    <w:rsid w:val="00BF63E8"/>
    <w:rsid w:val="00C01A97"/>
    <w:rsid w:val="00C16FD4"/>
    <w:rsid w:val="00C31037"/>
    <w:rsid w:val="00C367CF"/>
    <w:rsid w:val="00C630D3"/>
    <w:rsid w:val="00C70CF5"/>
    <w:rsid w:val="00C7160A"/>
    <w:rsid w:val="00CB49DA"/>
    <w:rsid w:val="00D06891"/>
    <w:rsid w:val="00D33099"/>
    <w:rsid w:val="00D34D09"/>
    <w:rsid w:val="00D52B45"/>
    <w:rsid w:val="00D76F0D"/>
    <w:rsid w:val="00D77F04"/>
    <w:rsid w:val="00DA3A5F"/>
    <w:rsid w:val="00DC4373"/>
    <w:rsid w:val="00DF29A9"/>
    <w:rsid w:val="00E0535B"/>
    <w:rsid w:val="00E117A4"/>
    <w:rsid w:val="00E23C92"/>
    <w:rsid w:val="00E31137"/>
    <w:rsid w:val="00E5296B"/>
    <w:rsid w:val="00E535C1"/>
    <w:rsid w:val="00E66659"/>
    <w:rsid w:val="00E67FC7"/>
    <w:rsid w:val="00E91949"/>
    <w:rsid w:val="00E92C5D"/>
    <w:rsid w:val="00EA79BD"/>
    <w:rsid w:val="00EB3A80"/>
    <w:rsid w:val="00EB5EE9"/>
    <w:rsid w:val="00EC56D0"/>
    <w:rsid w:val="00ED3508"/>
    <w:rsid w:val="00F0018C"/>
    <w:rsid w:val="00F57637"/>
    <w:rsid w:val="00F63300"/>
    <w:rsid w:val="00F749C6"/>
    <w:rsid w:val="00F76507"/>
    <w:rsid w:val="00F81ADC"/>
    <w:rsid w:val="00F85B8D"/>
    <w:rsid w:val="00FA3870"/>
    <w:rsid w:val="00FA67B7"/>
    <w:rsid w:val="00FB539F"/>
    <w:rsid w:val="00FC0DF8"/>
    <w:rsid w:val="00FC25E0"/>
    <w:rsid w:val="00FD333C"/>
    <w:rsid w:val="00FD4869"/>
    <w:rsid w:val="00FD4A67"/>
    <w:rsid w:val="00FD4CB0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922162-D932-46D5-B8BB-0BDACB54B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3B643A"/>
    <w:rPr>
      <w:rFonts w:ascii="Times-Parlament" w:hAnsi="Times-Parlament"/>
      <w:szCs w:val="24"/>
    </w:rPr>
  </w:style>
  <w:style w:type="character" w:default="1" w:styleId="Fuentedeprrafopredeter">
    <w:name w:val="Default Paragraph Font"/>
    <w:uiPriority w:val="1"/>
    <w:unhideWhenUsed/>
    <w:rsid w:val="003B643A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  <w:rsid w:val="003B643A"/>
  </w:style>
  <w:style w:type="paragraph" w:customStyle="1" w:styleId="NTtolprincipal">
    <w:name w:val="N/ Títol principal"/>
    <w:basedOn w:val="Normal"/>
    <w:qFormat/>
    <w:rsid w:val="003B643A"/>
    <w:pPr>
      <w:keepNext/>
      <w:keepLines/>
      <w:widowControl w:val="0"/>
      <w:tabs>
        <w:tab w:val="right" w:pos="4280"/>
      </w:tabs>
      <w:autoSpaceDE w:val="0"/>
      <w:autoSpaceDN w:val="0"/>
      <w:adjustRightInd w:val="0"/>
      <w:spacing w:before="310" w:after="30" w:line="260" w:lineRule="atLeast"/>
      <w:ind w:left="284"/>
      <w:jc w:val="both"/>
      <w:textAlignment w:val="center"/>
      <w:outlineLvl w:val="1"/>
    </w:pPr>
    <w:rPr>
      <w:rFonts w:ascii="Helvetica" w:hAnsi="Helvetica" w:cs="Times-Parlament"/>
      <w:color w:val="000000"/>
      <w:sz w:val="19"/>
      <w:szCs w:val="20"/>
      <w:lang w:eastAsia="ca-ES"/>
    </w:rPr>
  </w:style>
  <w:style w:type="paragraph" w:customStyle="1" w:styleId="NTtolsecundari">
    <w:name w:val="N/ Títol secundari"/>
    <w:basedOn w:val="Normal"/>
    <w:uiPriority w:val="99"/>
    <w:qFormat/>
    <w:rsid w:val="003B643A"/>
    <w:pPr>
      <w:keepNext/>
      <w:keepLines/>
      <w:widowControl w:val="0"/>
      <w:tabs>
        <w:tab w:val="right" w:pos="4280"/>
      </w:tabs>
      <w:autoSpaceDE w:val="0"/>
      <w:autoSpaceDN w:val="0"/>
      <w:adjustRightInd w:val="0"/>
      <w:spacing w:before="310" w:after="30" w:line="260" w:lineRule="atLeast"/>
      <w:ind w:left="284"/>
      <w:jc w:val="both"/>
      <w:textAlignment w:val="center"/>
      <w:outlineLvl w:val="1"/>
    </w:pPr>
    <w:rPr>
      <w:rFonts w:ascii="Helvetica" w:hAnsi="Helvetica" w:cs="Times-Parlament"/>
      <w:color w:val="000000"/>
      <w:sz w:val="19"/>
      <w:szCs w:val="20"/>
      <w:lang w:eastAsia="ca-ES"/>
    </w:rPr>
  </w:style>
  <w:style w:type="paragraph" w:customStyle="1" w:styleId="ERegistre">
    <w:name w:val="E/ Registre"/>
    <w:basedOn w:val="Normal"/>
    <w:next w:val="Normal"/>
    <w:uiPriority w:val="99"/>
    <w:qFormat/>
    <w:rsid w:val="003B643A"/>
    <w:pPr>
      <w:widowControl w:val="0"/>
      <w:tabs>
        <w:tab w:val="left" w:pos="907"/>
      </w:tabs>
      <w:autoSpaceDE w:val="0"/>
      <w:autoSpaceDN w:val="0"/>
      <w:adjustRightInd w:val="0"/>
      <w:spacing w:before="640" w:after="240" w:line="240" w:lineRule="atLeast"/>
      <w:textAlignment w:val="center"/>
    </w:pPr>
    <w:rPr>
      <w:rFonts w:ascii="Arial" w:hAnsi="Arial" w:cs="Times-Parlament"/>
      <w:color w:val="000000"/>
      <w:sz w:val="19"/>
      <w:szCs w:val="20"/>
    </w:rPr>
  </w:style>
  <w:style w:type="paragraph" w:customStyle="1" w:styleId="NNormal">
    <w:name w:val="N/ Normal"/>
    <w:basedOn w:val="Normal"/>
    <w:uiPriority w:val="99"/>
    <w:rsid w:val="003B643A"/>
    <w:pPr>
      <w:tabs>
        <w:tab w:val="left" w:pos="907"/>
      </w:tabs>
      <w:autoSpaceDE w:val="0"/>
      <w:autoSpaceDN w:val="0"/>
      <w:adjustRightInd w:val="0"/>
      <w:spacing w:line="260" w:lineRule="atLeast"/>
      <w:ind w:firstLine="284"/>
      <w:jc w:val="both"/>
      <w:textAlignment w:val="center"/>
    </w:pPr>
    <w:rPr>
      <w:rFonts w:ascii="Times LT Std" w:hAnsi="Times LT Std" w:cs="Times-Parlament"/>
      <w:color w:val="000000"/>
      <w:szCs w:val="20"/>
      <w:lang w:eastAsia="x-none"/>
    </w:rPr>
  </w:style>
  <w:style w:type="paragraph" w:customStyle="1" w:styleId="CTtolexpedient">
    <w:name w:val="C/ Títol expedient"/>
    <w:basedOn w:val="Normal"/>
    <w:next w:val="NNormal"/>
    <w:rsid w:val="003B643A"/>
    <w:pPr>
      <w:keepNext/>
      <w:keepLines/>
      <w:widowControl w:val="0"/>
      <w:tabs>
        <w:tab w:val="left" w:pos="907"/>
      </w:tabs>
      <w:autoSpaceDE w:val="0"/>
      <w:autoSpaceDN w:val="0"/>
      <w:adjustRightInd w:val="0"/>
      <w:spacing w:after="60" w:line="200" w:lineRule="atLeast"/>
      <w:ind w:left="851"/>
      <w:jc w:val="both"/>
      <w:textAlignment w:val="center"/>
      <w:outlineLvl w:val="0"/>
    </w:pPr>
    <w:rPr>
      <w:rFonts w:ascii="Helvetica" w:hAnsi="Helvetica" w:cs="Helvetica-Parlament"/>
      <w:b/>
      <w:bCs/>
      <w:color w:val="000000"/>
      <w:szCs w:val="19"/>
      <w:lang w:eastAsia="ca-ES"/>
    </w:rPr>
  </w:style>
  <w:style w:type="paragraph" w:customStyle="1" w:styleId="CTramnm">
    <w:name w:val="C/ Tram. núm."/>
    <w:basedOn w:val="Normal"/>
    <w:next w:val="NNormal"/>
    <w:rsid w:val="003B643A"/>
    <w:pPr>
      <w:keepNext/>
      <w:keepLines/>
      <w:widowControl w:val="0"/>
      <w:tabs>
        <w:tab w:val="left" w:pos="907"/>
      </w:tabs>
      <w:autoSpaceDE w:val="0"/>
      <w:autoSpaceDN w:val="0"/>
      <w:adjustRightInd w:val="0"/>
      <w:spacing w:after="220" w:line="200" w:lineRule="atLeast"/>
      <w:ind w:left="851"/>
      <w:textAlignment w:val="center"/>
    </w:pPr>
    <w:rPr>
      <w:rFonts w:ascii="Helvetica" w:hAnsi="Helvetica" w:cs="Helvetica-Parlament"/>
      <w:color w:val="000000"/>
      <w:sz w:val="17"/>
      <w:szCs w:val="16"/>
      <w:lang w:eastAsia="ca-ES"/>
    </w:rPr>
  </w:style>
  <w:style w:type="paragraph" w:customStyle="1" w:styleId="CTrmitdades">
    <w:name w:val="C/ Tràmit dades"/>
    <w:basedOn w:val="Normal"/>
    <w:next w:val="NNormal"/>
    <w:rsid w:val="003B643A"/>
    <w:pPr>
      <w:widowControl w:val="0"/>
      <w:tabs>
        <w:tab w:val="left" w:pos="907"/>
      </w:tabs>
      <w:suppressAutoHyphens/>
      <w:autoSpaceDE w:val="0"/>
      <w:autoSpaceDN w:val="0"/>
      <w:adjustRightInd w:val="0"/>
      <w:spacing w:line="200" w:lineRule="atLeast"/>
      <w:ind w:left="851"/>
      <w:textAlignment w:val="center"/>
    </w:pPr>
    <w:rPr>
      <w:rFonts w:ascii="Helvetica" w:hAnsi="Helvetica" w:cs="Helvetica-Parlament"/>
      <w:color w:val="000000"/>
      <w:sz w:val="17"/>
      <w:szCs w:val="16"/>
      <w:lang w:eastAsia="ca-ES"/>
    </w:rPr>
  </w:style>
  <w:style w:type="paragraph" w:customStyle="1" w:styleId="CTrmit">
    <w:name w:val="C/ Tràmit"/>
    <w:basedOn w:val="Normal"/>
    <w:next w:val="NNormal"/>
    <w:rsid w:val="003B643A"/>
    <w:pPr>
      <w:keepNext/>
      <w:keepLines/>
      <w:widowControl w:val="0"/>
      <w:tabs>
        <w:tab w:val="left" w:pos="907"/>
      </w:tabs>
      <w:autoSpaceDE w:val="0"/>
      <w:autoSpaceDN w:val="0"/>
      <w:adjustRightInd w:val="0"/>
      <w:spacing w:line="220" w:lineRule="atLeast"/>
      <w:ind w:left="851"/>
      <w:jc w:val="both"/>
      <w:textAlignment w:val="center"/>
    </w:pPr>
    <w:rPr>
      <w:rFonts w:ascii="Helvetica" w:hAnsi="Helvetica" w:cs="Helvetica-Parlament"/>
      <w:caps/>
      <w:color w:val="000000"/>
      <w:sz w:val="17"/>
      <w:szCs w:val="19"/>
      <w:lang w:eastAsia="ca-ES"/>
    </w:rPr>
  </w:style>
  <w:style w:type="paragraph" w:customStyle="1" w:styleId="PData">
    <w:name w:val="P/ Data"/>
    <w:basedOn w:val="Normal"/>
    <w:next w:val="NNormal"/>
    <w:rsid w:val="003B643A"/>
    <w:pPr>
      <w:keepNext/>
      <w:keepLines/>
      <w:widowControl w:val="0"/>
      <w:tabs>
        <w:tab w:val="center" w:pos="5046"/>
        <w:tab w:val="right" w:pos="10091"/>
      </w:tabs>
      <w:suppressAutoHyphens/>
      <w:autoSpaceDE w:val="0"/>
      <w:autoSpaceDN w:val="0"/>
      <w:adjustRightInd w:val="0"/>
      <w:spacing w:before="440" w:after="102" w:line="220" w:lineRule="atLeast"/>
      <w:textAlignment w:val="center"/>
    </w:pPr>
    <w:rPr>
      <w:rFonts w:ascii="Times LT Std" w:hAnsi="Times LT Std" w:cs="Times-Parlament"/>
      <w:color w:val="000000"/>
      <w:szCs w:val="20"/>
      <w:lang w:eastAsia="ca-ES"/>
    </w:rPr>
  </w:style>
  <w:style w:type="paragraph" w:customStyle="1" w:styleId="PSignatura">
    <w:name w:val="P/ Signatura"/>
    <w:basedOn w:val="Normal"/>
    <w:next w:val="NNormal"/>
    <w:rsid w:val="003B643A"/>
    <w:pPr>
      <w:keepNext/>
      <w:keepLines/>
      <w:widowControl w:val="0"/>
      <w:tabs>
        <w:tab w:val="right" w:pos="7088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Times LT Std" w:hAnsi="Times LT Std" w:cs="Times-Parlament"/>
      <w:color w:val="000000"/>
      <w:szCs w:val="20"/>
      <w:lang w:eastAsia="ca-ES"/>
    </w:rPr>
  </w:style>
  <w:style w:type="character" w:customStyle="1" w:styleId="ECCursiva">
    <w:name w:val="EC Cursiva"/>
    <w:basedOn w:val="Fuentedeprrafopredeter"/>
    <w:uiPriority w:val="99"/>
    <w:rsid w:val="003B643A"/>
    <w:rPr>
      <w:rFonts w:cs="Times New Roman"/>
      <w:i/>
    </w:rPr>
  </w:style>
  <w:style w:type="paragraph" w:styleId="Encabezado">
    <w:name w:val="header"/>
    <w:basedOn w:val="Normal"/>
    <w:link w:val="EncabezadoCar"/>
    <w:uiPriority w:val="99"/>
    <w:unhideWhenUsed/>
    <w:rsid w:val="003B64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43A"/>
    <w:rPr>
      <w:rFonts w:ascii="Times-Parlament" w:hAnsi="Times-Parlament"/>
      <w:szCs w:val="24"/>
    </w:rPr>
  </w:style>
  <w:style w:type="paragraph" w:styleId="Piedepgina">
    <w:name w:val="footer"/>
    <w:basedOn w:val="PMPeu"/>
    <w:link w:val="PiedepginaCar"/>
    <w:uiPriority w:val="99"/>
    <w:unhideWhenUsed/>
    <w:rsid w:val="003B643A"/>
    <w:pPr>
      <w:ind w:right="0"/>
    </w:pPr>
    <w:rPr>
      <w:rFonts w:ascii="Helvetica" w:hAnsi="Helvetica"/>
      <w:spacing w:val="4"/>
      <w:sz w:val="15"/>
      <w:szCs w:val="1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B643A"/>
    <w:rPr>
      <w:rFonts w:ascii="Helvetica" w:eastAsiaTheme="minorEastAsia" w:hAnsi="Helvetica"/>
      <w:color w:val="000000"/>
      <w:spacing w:val="4"/>
      <w:sz w:val="15"/>
      <w:szCs w:val="1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64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643A"/>
    <w:rPr>
      <w:rFonts w:ascii="Tahoma" w:hAnsi="Tahoma" w:cs="Tahoma"/>
      <w:sz w:val="16"/>
      <w:szCs w:val="16"/>
    </w:rPr>
  </w:style>
  <w:style w:type="paragraph" w:customStyle="1" w:styleId="PMPeu">
    <w:name w:val="PM/ Peu"/>
    <w:qFormat/>
    <w:rsid w:val="003B643A"/>
    <w:pPr>
      <w:tabs>
        <w:tab w:val="right" w:pos="8505"/>
      </w:tabs>
      <w:ind w:right="566"/>
    </w:pPr>
    <w:rPr>
      <w:rFonts w:ascii="Helvetica LT Light" w:eastAsiaTheme="minorEastAsia" w:hAnsi="Helvetica LT Light"/>
      <w:color w:val="000000"/>
      <w:sz w:val="14"/>
      <w:lang w:val="es-ES" w:eastAsia="es-ES"/>
    </w:rPr>
  </w:style>
  <w:style w:type="paragraph" w:customStyle="1" w:styleId="PMPeuNum">
    <w:name w:val="PM/ Peu Num"/>
    <w:qFormat/>
    <w:rsid w:val="003B643A"/>
    <w:pPr>
      <w:jc w:val="right"/>
    </w:pPr>
    <w:rPr>
      <w:rFonts w:ascii="Helvetica LT Light" w:eastAsiaTheme="minorEastAsia" w:hAnsi="Helvetica LT Light"/>
      <w:color w:val="000000"/>
      <w:sz w:val="16"/>
      <w:lang w:val="es-ES" w:eastAsia="es-ES"/>
    </w:rPr>
  </w:style>
  <w:style w:type="paragraph" w:customStyle="1" w:styleId="Indexsindicatura485">
    <w:name w:val="Index sindicatura 4.85."/>
    <w:basedOn w:val="Normal"/>
    <w:qFormat/>
    <w:rsid w:val="003B643A"/>
    <w:pPr>
      <w:jc w:val="both"/>
    </w:pPr>
    <w:rPr>
      <w:rFonts w:ascii="HelveticaNeueLT Std" w:eastAsiaTheme="minorEastAsia" w:hAnsi="HelveticaNeueLT Std"/>
      <w:sz w:val="16"/>
      <w:lang w:eastAsia="ca-ES"/>
    </w:rPr>
  </w:style>
  <w:style w:type="paragraph" w:customStyle="1" w:styleId="NNormalespai">
    <w:name w:val="N/ Normal espai"/>
    <w:basedOn w:val="NNormal"/>
    <w:next w:val="NNormal"/>
    <w:qFormat/>
    <w:rsid w:val="003B643A"/>
    <w:pPr>
      <w:spacing w:before="160"/>
    </w:pPr>
  </w:style>
  <w:style w:type="paragraph" w:customStyle="1" w:styleId="FFil">
    <w:name w:val="F/ Fil"/>
    <w:basedOn w:val="NNormal"/>
    <w:next w:val="Normal"/>
    <w:rsid w:val="003B643A"/>
    <w:pPr>
      <w:keepLines/>
      <w:pBdr>
        <w:top w:val="single" w:sz="2" w:space="0" w:color="000000"/>
      </w:pBdr>
      <w:spacing w:before="60" w:after="907" w:line="80" w:lineRule="atLeast"/>
      <w:ind w:left="907" w:hanging="907"/>
    </w:pPr>
    <w:rPr>
      <w:rFonts w:ascii="HelveticaNeueLT Std" w:hAnsi="HelveticaNeueLT Std" w:cs="Helvetica-Parlament"/>
      <w:sz w:val="18"/>
      <w:szCs w:val="18"/>
      <w:lang w:eastAsia="ca-ES"/>
    </w:rPr>
  </w:style>
  <w:style w:type="character" w:customStyle="1" w:styleId="ECVersaleta">
    <w:name w:val="EC Versaleta"/>
    <w:rsid w:val="003B643A"/>
    <w:rPr>
      <w:smallCaps/>
    </w:rPr>
  </w:style>
  <w:style w:type="character" w:customStyle="1" w:styleId="ECCursivanegreta">
    <w:name w:val="EC Cursiva negreta"/>
    <w:uiPriority w:val="99"/>
    <w:rsid w:val="003B643A"/>
    <w:rPr>
      <w:b/>
      <w:i/>
      <w:w w:val="100"/>
      <w:lang w:val="ca-ES" w:eastAsia="x-none"/>
    </w:rPr>
  </w:style>
  <w:style w:type="character" w:customStyle="1" w:styleId="ECNegreta">
    <w:name w:val="EC Negreta"/>
    <w:rsid w:val="003B643A"/>
    <w:rPr>
      <w:b/>
      <w:lang w:val="ca-ES" w:eastAsia="x-none"/>
    </w:rPr>
  </w:style>
  <w:style w:type="character" w:styleId="Textodelmarcadordeposicin">
    <w:name w:val="Placeholder Text"/>
    <w:basedOn w:val="Fuentedeprrafopredeter"/>
    <w:uiPriority w:val="99"/>
    <w:semiHidden/>
    <w:rsid w:val="003B643A"/>
    <w:rPr>
      <w:color w:val="808080"/>
    </w:rPr>
  </w:style>
  <w:style w:type="table" w:styleId="Tablaconcuadrcula">
    <w:name w:val="Table Grid"/>
    <w:basedOn w:val="Tablanormal"/>
    <w:uiPriority w:val="59"/>
    <w:rsid w:val="003B643A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Plantilles\D7\TextosAprovats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1C189-87E3-4DB7-ACC6-0A029EAF4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TextosAprovats.dotx</Template>
  <TotalTime>0</TotalTime>
  <Pages>1</Pages>
  <Words>537</Words>
  <Characters>2868</Characters>
  <Application>Microsoft Office Word</Application>
  <DocSecurity>0</DocSecurity>
  <PresentationFormat/>
  <Lines>42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[títol]</vt:lpstr>
      <vt:lpstr/>
    </vt:vector>
  </TitlesOfParts>
  <Manager/>
  <Company>Parlament de Catalunya</Company>
  <LinksUpToDate>false</LinksUpToDate>
  <CharactersWithSpaces>3384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Moció 54/XV del Parlament de Catalunya, sobre l’acord de lliure comerç entre la Unió Europea i Mercosur_x000d_</dc:title>
  <dc:subject>APROVACIÓ_x000d_</dc:subject>
  <dc:creator>Ple del Parlament, sessió 19, 13.03.2025, DSPC-P 32_x000d_</dc:creator>
  <cp:keywords>Publicació: BOPC 183_x000d_</cp:keywords>
  <dc:description>Moció 54/XV del Parlament de Catalunya, sobre l’acord de lliure comerç entre la Unió Europea i Mercosur_x000d_</dc:description>
  <cp:lastModifiedBy>Vela Perez, Mónica</cp:lastModifiedBy>
  <cp:revision>1</cp:revision>
  <cp:lastPrinted>2025-11-04T12:09:00Z</cp:lastPrinted>
  <dcterms:created xsi:type="dcterms:W3CDTF">2025-11-04T12:09:00Z</dcterms:created>
  <dcterms:modified xsi:type="dcterms:W3CDTF">2025-11-04T12:09:00Z</dcterms:modified>
  <cp:category>APROVACIÓ_x000d_</cp:category>
  <cp:contentStatus/>
  <dc:language/>
  <cp:version/>
</cp:coreProperties>
</file>