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B2B82" w:rsidRDefault="003A6120">
      <w:pPr>
        <w:spacing w:before="240" w:after="240"/>
        <w:rPr>
          <w:b/>
          <w:bCs/>
          <w:color w:val="674EA7"/>
          <w:sz w:val="24"/>
          <w:szCs w:val="24"/>
        </w:rPr>
      </w:pPr>
      <w:bookmarkStart w:id="0" w:name="_GoBack"/>
      <w:bookmarkEnd w:id="0"/>
      <w:r>
        <w:rPr>
          <w:b/>
          <w:bCs/>
          <w:color w:val="674EA7"/>
          <w:sz w:val="24"/>
          <w:szCs w:val="24"/>
        </w:rPr>
        <w:t>Audiència davant la ponència amb relació a la Proposició de llei d'atenció pal·liativa pediàtrica integral</w:t>
      </w:r>
    </w:p>
    <w:p w14:paraId="00000002" w14:textId="77777777" w:rsidR="007B2B82" w:rsidRDefault="003A6120">
      <w:pPr>
        <w:spacing w:before="240" w:after="240"/>
        <w:rPr>
          <w:color w:val="674EA7"/>
        </w:rPr>
      </w:pPr>
      <w:r>
        <w:rPr>
          <w:color w:val="674EA7"/>
        </w:rPr>
        <w:t>Consell Nacional dels Infants i Adolescents de Catalunya (CNIAC)</w:t>
      </w:r>
    </w:p>
    <w:p w14:paraId="00000003" w14:textId="77777777" w:rsidR="007B2B82" w:rsidRDefault="003A6120">
      <w:pPr>
        <w:spacing w:before="240" w:after="240"/>
      </w:pPr>
      <w:r>
        <w:t>L’atenció pal·liativa pediàtrica involucra directament infants, adolescents i el seu entorn que es troben en situacions delicades, i que requereixen una gran quantitat d’atenció física i emocional. Per això, creiem que aquesta és una proposició de llei amb un impacte directe en la vida de moltes persones, ja que respon a la necessitat dels infants, adolescents i famílies en situació de cures pal·liatives pediàtriques, promovent una vida digna i reclamant, una equitat territorial i social, en respecte dels drets dels infants.</w:t>
      </w:r>
    </w:p>
    <w:p w14:paraId="00000004" w14:textId="77777777" w:rsidR="007B2B82" w:rsidRDefault="003A6120">
      <w:pPr>
        <w:spacing w:before="240" w:after="240"/>
      </w:pPr>
      <w:r>
        <w:t xml:space="preserve">Aquest document està estructurat </w:t>
      </w:r>
      <w:proofErr w:type="spellStart"/>
      <w:r>
        <w:t>seguints</w:t>
      </w:r>
      <w:proofErr w:type="spellEnd"/>
      <w:r>
        <w:t xml:space="preserve"> les demandes que el Consell Nacional dels Infants i els Adolescents de Catalunya va exposar, definint un propòsit clar i unes propostes determinades de cara a la proposició de llei. Aquest document recull aspectes generals sobre la proposició de llei i al·legacions concretes. Amb tot això, es pretén contribuir al desenvolupament d’un model d’atenció més respectuós cap als drets dels infants d’acord amb les al·legacions que vam presentar de forma presencial al Parlament.</w:t>
      </w:r>
    </w:p>
    <w:p w14:paraId="00000005" w14:textId="77777777" w:rsidR="007B2B82" w:rsidRDefault="007B2B82">
      <w:pPr>
        <w:spacing w:before="240" w:after="240"/>
        <w:rPr>
          <w:b/>
          <w:bCs/>
        </w:rPr>
      </w:pPr>
    </w:p>
    <w:p w14:paraId="00000006" w14:textId="77777777" w:rsidR="007B2B82" w:rsidRDefault="003A6120">
      <w:pPr>
        <w:spacing w:before="240" w:after="240"/>
        <w:rPr>
          <w:b/>
          <w:bCs/>
        </w:rPr>
      </w:pPr>
      <w:r>
        <w:rPr>
          <w:b/>
          <w:bCs/>
        </w:rPr>
        <w:t>1. Aspectes generals</w:t>
      </w:r>
    </w:p>
    <w:p w14:paraId="00000007" w14:textId="77777777" w:rsidR="007B2B82" w:rsidRDefault="003A6120">
      <w:pPr>
        <w:numPr>
          <w:ilvl w:val="0"/>
          <w:numId w:val="2"/>
        </w:numPr>
        <w:spacing w:before="240"/>
      </w:pPr>
      <w:r>
        <w:t>Establir en la llei un compromís clar i estable de finançament per garantir els recursos humans, materials i organitzatius necessaris per a l’atenció pal·liativa pediàtrica.</w:t>
      </w:r>
    </w:p>
    <w:p w14:paraId="00000008" w14:textId="77777777" w:rsidR="007B2B82" w:rsidRDefault="003A6120">
      <w:pPr>
        <w:numPr>
          <w:ilvl w:val="0"/>
          <w:numId w:val="2"/>
        </w:numPr>
      </w:pPr>
      <w:r>
        <w:t>Incloure mecanismes d’avaluació periòdica dels recursos disponibles per assegurar que l’atenció es presta amb qualitat i equitat territorial.</w:t>
      </w:r>
    </w:p>
    <w:p w14:paraId="00000009" w14:textId="77777777" w:rsidR="007B2B82" w:rsidRDefault="003A6120">
      <w:pPr>
        <w:numPr>
          <w:ilvl w:val="0"/>
          <w:numId w:val="2"/>
        </w:numPr>
      </w:pPr>
      <w:r>
        <w:t>Establir protocols que assegurin el respecte a la intimitat de l’infant en el domicili.</w:t>
      </w:r>
    </w:p>
    <w:p w14:paraId="0000000A" w14:textId="77777777" w:rsidR="007B2B82" w:rsidRDefault="003A6120">
      <w:pPr>
        <w:numPr>
          <w:ilvl w:val="0"/>
          <w:numId w:val="2"/>
        </w:numPr>
      </w:pPr>
      <w:r>
        <w:t>Garantir que els infants en situació de cures pal·liatives puguin continuar vinculats al seu procés educatiu sempre que sigui possible (d’acord amb la seva voluntat)</w:t>
      </w:r>
    </w:p>
    <w:p w14:paraId="0000000B" w14:textId="77777777" w:rsidR="007B2B82" w:rsidRDefault="003A6120">
      <w:pPr>
        <w:numPr>
          <w:ilvl w:val="0"/>
          <w:numId w:val="2"/>
        </w:numPr>
      </w:pPr>
      <w:r>
        <w:t>Establir mecanismes de coordinació entre els serveis sanitaris i el sistema educatiu per adaptar l’escolarització a les necessitats de cada cas.</w:t>
      </w:r>
    </w:p>
    <w:p w14:paraId="0000000C" w14:textId="77777777" w:rsidR="007B2B82" w:rsidRDefault="003A6120">
      <w:pPr>
        <w:numPr>
          <w:ilvl w:val="0"/>
          <w:numId w:val="2"/>
        </w:numPr>
      </w:pPr>
      <w:r>
        <w:t>Incorporar de manera explícita la importància del joc, l’oci i les activitats que contribueixin al benestar emocional dels infants en situació de cures pal·liatives.</w:t>
      </w:r>
    </w:p>
    <w:p w14:paraId="0000000D" w14:textId="77777777" w:rsidR="007B2B82" w:rsidRDefault="003A6120">
      <w:pPr>
        <w:numPr>
          <w:ilvl w:val="0"/>
          <w:numId w:val="2"/>
        </w:numPr>
        <w:spacing w:after="240"/>
      </w:pPr>
      <w:r>
        <w:t>Promoure espais i activitats adaptades que permetin als infants continuar gaudint de moments de qualitat independentment de la seva situació de salut.</w:t>
      </w:r>
    </w:p>
    <w:p w14:paraId="0000000E" w14:textId="77777777" w:rsidR="007B2B82" w:rsidRDefault="003A6120">
      <w:pPr>
        <w:spacing w:before="240" w:after="240"/>
        <w:rPr>
          <w:b/>
          <w:bCs/>
        </w:rPr>
      </w:pPr>
      <w:r>
        <w:rPr>
          <w:b/>
          <w:bCs/>
        </w:rPr>
        <w:t>2. Aspectes concrets</w:t>
      </w:r>
    </w:p>
    <w:p w14:paraId="0000000F" w14:textId="77777777" w:rsidR="007B2B82" w:rsidRDefault="003A6120">
      <w:pPr>
        <w:numPr>
          <w:ilvl w:val="0"/>
          <w:numId w:val="1"/>
        </w:numPr>
        <w:spacing w:before="240" w:after="240"/>
        <w:rPr>
          <w:b/>
          <w:bCs/>
        </w:rPr>
      </w:pPr>
      <w:r>
        <w:rPr>
          <w:b/>
          <w:bCs/>
        </w:rPr>
        <w:t>Incloure una referència explícita al respecte i garantia dels drets dels infants recollits a la Convenció sobre els Drets de l’Infant en els següents articles:</w:t>
      </w:r>
    </w:p>
    <w:p w14:paraId="00000010" w14:textId="77777777" w:rsidR="007B2B82" w:rsidRDefault="003A6120">
      <w:pPr>
        <w:pStyle w:val="Ttulo3"/>
        <w:keepNext w:val="0"/>
        <w:keepLines w:val="0"/>
        <w:spacing w:before="280" w:line="240" w:lineRule="auto"/>
        <w:rPr>
          <w:color w:val="000000"/>
          <w:sz w:val="22"/>
          <w:szCs w:val="22"/>
        </w:rPr>
      </w:pPr>
      <w:bookmarkStart w:id="1" w:name="_xjin5k5ar09c" w:colFirst="0" w:colLast="0"/>
      <w:bookmarkEnd w:id="1"/>
      <w:r>
        <w:rPr>
          <w:color w:val="000000"/>
          <w:sz w:val="22"/>
          <w:szCs w:val="22"/>
        </w:rPr>
        <w:t>Títol II – Article 9 – apartat 1</w:t>
      </w:r>
    </w:p>
    <w:p w14:paraId="00000011" w14:textId="77777777" w:rsidR="007B2B82" w:rsidRDefault="003A6120">
      <w:pPr>
        <w:spacing w:before="240" w:after="240" w:line="240" w:lineRule="auto"/>
      </w:pPr>
      <w:r>
        <w:t>«En qualsevol cas, el procés d’atenció als pacients pediàtrics respectarà les necessitats especials d’aquestes en cada moment del procés de la seva malaltia i s’ajustarà al que estableix la normativa vigent.»</w:t>
      </w:r>
    </w:p>
    <w:p w14:paraId="00000012" w14:textId="77777777" w:rsidR="007B2B82" w:rsidRDefault="003A6120">
      <w:pPr>
        <w:spacing w:before="240" w:after="240" w:line="240" w:lineRule="auto"/>
      </w:pPr>
      <w:r>
        <w:lastRenderedPageBreak/>
        <w:t>Títol II – Article 10 – apartat 1</w:t>
      </w:r>
    </w:p>
    <w:p w14:paraId="00000013" w14:textId="77777777" w:rsidR="007B2B82" w:rsidRDefault="003A6120">
      <w:pPr>
        <w:spacing w:before="240" w:after="240" w:line="240" w:lineRule="auto"/>
      </w:pPr>
      <w:r>
        <w:t>«Els pacients pediàtrics hospitalitzats tenen dret a ser atesos en espais diferenciats dels d’atenció a adults, així com comptar amb llocs adaptats i acollidors on es faciliti el dret al lleure i a jugar.»</w:t>
      </w:r>
    </w:p>
    <w:p w14:paraId="00000014" w14:textId="77777777" w:rsidR="007B2B82" w:rsidRDefault="003A6120">
      <w:pPr>
        <w:pStyle w:val="Ttulo3"/>
        <w:keepNext w:val="0"/>
        <w:keepLines w:val="0"/>
        <w:spacing w:before="280" w:line="240" w:lineRule="auto"/>
        <w:rPr>
          <w:color w:val="000000"/>
          <w:sz w:val="22"/>
          <w:szCs w:val="22"/>
        </w:rPr>
      </w:pPr>
      <w:bookmarkStart w:id="2" w:name="_dg0v29wnx8j2" w:colFirst="0" w:colLast="0"/>
      <w:bookmarkEnd w:id="2"/>
      <w:r>
        <w:rPr>
          <w:color w:val="000000"/>
          <w:sz w:val="22"/>
          <w:szCs w:val="22"/>
        </w:rPr>
        <w:t>Títol III – Article 13 – apartat 2</w:t>
      </w:r>
    </w:p>
    <w:p w14:paraId="00000015" w14:textId="77777777" w:rsidR="007B2B82" w:rsidRDefault="003A6120">
      <w:pPr>
        <w:spacing w:before="240" w:after="240" w:line="240" w:lineRule="auto"/>
      </w:pPr>
      <w:r>
        <w:t>«Es garantirà als pacients en atenció pal·liativa pediàtrica informació sobre el seu estat de salut i sobre els objectius de l’atenció pal·liativa pediàtrica que rebrà durant el procés, d’acord amb les seves capacitats, el grau de maduresa, les necessitats i les preferències.»</w:t>
      </w:r>
    </w:p>
    <w:p w14:paraId="00000016" w14:textId="77777777" w:rsidR="007B2B82" w:rsidRDefault="003A6120">
      <w:pPr>
        <w:spacing w:before="240" w:after="240" w:line="240" w:lineRule="auto"/>
      </w:pPr>
      <w:r>
        <w:t>Títol III – Article 13 – apartat 4</w:t>
      </w:r>
    </w:p>
    <w:p w14:paraId="00000017" w14:textId="77777777" w:rsidR="007B2B82" w:rsidRDefault="003A6120">
      <w:pPr>
        <w:spacing w:before="240" w:after="240" w:line="240" w:lineRule="auto"/>
      </w:pPr>
      <w:r>
        <w:t>«Els clínics han d’investigar les preferències dels pacients en atenció pal·liativa pediàtrica, sobre quina informació volen rebre com interlocutor/s, freqüència, nivell de detall i complexitat.»</w:t>
      </w:r>
    </w:p>
    <w:p w14:paraId="00000018" w14:textId="77777777" w:rsidR="007B2B82" w:rsidRDefault="003A6120">
      <w:pPr>
        <w:pStyle w:val="Ttulo3"/>
        <w:keepNext w:val="0"/>
        <w:keepLines w:val="0"/>
        <w:spacing w:before="280" w:line="240" w:lineRule="auto"/>
        <w:rPr>
          <w:color w:val="000000"/>
          <w:sz w:val="22"/>
          <w:szCs w:val="22"/>
        </w:rPr>
      </w:pPr>
      <w:bookmarkStart w:id="3" w:name="_sgi1jbmdeaja" w:colFirst="0" w:colLast="0"/>
      <w:bookmarkEnd w:id="3"/>
      <w:r>
        <w:rPr>
          <w:color w:val="000000"/>
          <w:sz w:val="22"/>
          <w:szCs w:val="22"/>
        </w:rPr>
        <w:t>Títol III – Article 14 – apartat 1</w:t>
      </w:r>
    </w:p>
    <w:p w14:paraId="00000019" w14:textId="77777777" w:rsidR="007B2B82" w:rsidRDefault="003A6120">
      <w:pPr>
        <w:spacing w:before="240" w:after="240" w:line="240" w:lineRule="auto"/>
      </w:pPr>
      <w:r>
        <w:t>«El metge responsable, abans de proposar qualsevol intervenció sanitària a un pacient en atenció pal·liativa pediàtrica, (...) en els termes que preveuen aquesta Llei i la Llei 4/2002, de 14 de novembre segons la seva modificació per la Llei 26/2015, de 28 de juliol, tal com s’especifica a l’article 12 d’aquesta llei»</w:t>
      </w:r>
    </w:p>
    <w:p w14:paraId="0000001A" w14:textId="77777777" w:rsidR="007B2B82" w:rsidRDefault="007B2B82">
      <w:pPr>
        <w:spacing w:before="240" w:after="240" w:line="240" w:lineRule="auto"/>
      </w:pPr>
    </w:p>
    <w:p w14:paraId="0000001B" w14:textId="77777777" w:rsidR="007B2B82" w:rsidRDefault="003A6120">
      <w:pPr>
        <w:numPr>
          <w:ilvl w:val="0"/>
          <w:numId w:val="1"/>
        </w:numPr>
        <w:spacing w:before="240" w:after="240"/>
        <w:rPr>
          <w:b/>
          <w:bCs/>
        </w:rPr>
      </w:pPr>
      <w:r>
        <w:rPr>
          <w:b/>
          <w:bCs/>
        </w:rPr>
        <w:t>Incorporar de manera més clara el dret a la participació de l’infant en les decisions que afecten la seva salut, d’acord amb la seva edat i maduresa. Tal i com es fa en el següent article:</w:t>
      </w:r>
    </w:p>
    <w:p w14:paraId="0000001C" w14:textId="77777777" w:rsidR="007B2B82" w:rsidRDefault="003A6120">
      <w:pPr>
        <w:spacing w:before="240" w:after="240"/>
      </w:pPr>
      <w:r>
        <w:t>Títol III – Article 12 – apartat 1</w:t>
      </w:r>
    </w:p>
    <w:p w14:paraId="0000001D" w14:textId="77777777" w:rsidR="007B2B82" w:rsidRDefault="003A6120">
      <w:pPr>
        <w:spacing w:before="240" w:after="240"/>
      </w:pPr>
      <w:r>
        <w:t>«Es garantirà la participació del pacient pediàtric, familiars, i cuidadors o persona de relació afectiva propera.»</w:t>
      </w:r>
    </w:p>
    <w:p w14:paraId="0000001E" w14:textId="77777777" w:rsidR="007B2B82" w:rsidRDefault="007B2B82">
      <w:pPr>
        <w:spacing w:before="240" w:after="240"/>
      </w:pPr>
    </w:p>
    <w:p w14:paraId="0000001F" w14:textId="77777777" w:rsidR="007B2B82" w:rsidRDefault="003A6120">
      <w:pPr>
        <w:numPr>
          <w:ilvl w:val="0"/>
          <w:numId w:val="1"/>
        </w:numPr>
        <w:spacing w:before="240" w:after="240"/>
        <w:rPr>
          <w:b/>
          <w:bCs/>
        </w:rPr>
      </w:pPr>
      <w:r>
        <w:rPr>
          <w:b/>
          <w:bCs/>
        </w:rPr>
        <w:t xml:space="preserve">Garantir que l’infant pugui expressar la seva opinió sobre les decisions que afecten el seu entorn i la seva cura (escolarització, activitats extraescolars, oci, …) </w:t>
      </w:r>
      <w:r>
        <w:t>El text regula l’atenció sanitària però no sempre reconeix de manera explícita el dret de l’infant a expressar la seva opinió sobre aspectes de la seva vida quotidiana vinculats al procés assistencial.</w:t>
      </w:r>
    </w:p>
    <w:p w14:paraId="00000020" w14:textId="77777777" w:rsidR="007B2B82" w:rsidRDefault="003A6120">
      <w:pPr>
        <w:spacing w:before="240" w:after="240"/>
      </w:pPr>
      <w:r>
        <w:t>Títol II – Article 10 – apartat 2</w:t>
      </w:r>
    </w:p>
    <w:p w14:paraId="00000021" w14:textId="77777777" w:rsidR="007B2B82" w:rsidRDefault="003A6120">
      <w:pPr>
        <w:spacing w:before="240" w:after="240"/>
      </w:pPr>
      <w:r>
        <w:t>«Els pacients pediàtrics hospitalitzats (…) comptaran amb llocs adaptats i acollidors on es faciliti el dret al lleure i a jugar.»</w:t>
      </w:r>
    </w:p>
    <w:p w14:paraId="00000022" w14:textId="77777777" w:rsidR="007B2B82" w:rsidRDefault="007B2B82">
      <w:pPr>
        <w:spacing w:before="240" w:after="240"/>
      </w:pPr>
    </w:p>
    <w:p w14:paraId="00000023" w14:textId="77777777" w:rsidR="007B2B82" w:rsidRDefault="003A6120">
      <w:pPr>
        <w:spacing w:before="240" w:after="240"/>
      </w:pPr>
      <w:r>
        <w:t>Títol II – Article 10 – apartat 3</w:t>
      </w:r>
    </w:p>
    <w:p w14:paraId="00000024" w14:textId="77777777" w:rsidR="007B2B82" w:rsidRDefault="003A6120">
      <w:pPr>
        <w:spacing w:before="240" w:after="240"/>
      </w:pPr>
      <w:r>
        <w:lastRenderedPageBreak/>
        <w:t>«També tindran dret a un procés educatiu segons la seva capacitat i desenvolupament evolutiu tant en el centre hospitalari com en el seu domicili.»</w:t>
      </w:r>
    </w:p>
    <w:p w14:paraId="00000025" w14:textId="77777777" w:rsidR="007B2B82" w:rsidRDefault="003A6120">
      <w:pPr>
        <w:spacing w:before="240" w:after="240"/>
      </w:pPr>
      <w:r>
        <w:t>(Es reconeix el dret a l’escolarització, però no s’especifica que l’infant pugui decidir sobre com vol mantenir aquest procés educatiu.)</w:t>
      </w:r>
    </w:p>
    <w:p w14:paraId="00000026" w14:textId="77777777" w:rsidR="007B2B82" w:rsidRDefault="007B2B82">
      <w:pPr>
        <w:spacing w:before="240" w:after="240"/>
        <w:rPr>
          <w:b/>
          <w:bCs/>
        </w:rPr>
      </w:pPr>
    </w:p>
    <w:p w14:paraId="00000027" w14:textId="77777777" w:rsidR="007B2B82" w:rsidRDefault="003A6120">
      <w:pPr>
        <w:numPr>
          <w:ilvl w:val="0"/>
          <w:numId w:val="1"/>
        </w:numPr>
        <w:spacing w:before="240" w:after="240"/>
        <w:rPr>
          <w:b/>
          <w:bCs/>
        </w:rPr>
      </w:pPr>
      <w:r>
        <w:rPr>
          <w:b/>
          <w:bCs/>
        </w:rPr>
        <w:t>Reconèixer que, en determinades situacions, el descans, el joc o el benestar emocional poden ser prioritaris respecte a l’activitat escolar.</w:t>
      </w:r>
    </w:p>
    <w:p w14:paraId="00000028" w14:textId="77777777" w:rsidR="007B2B82" w:rsidRDefault="003A6120">
      <w:pPr>
        <w:spacing w:before="240" w:after="240"/>
      </w:pPr>
      <w:r>
        <w:t>Títol II – Article 10 – apartat 2</w:t>
      </w:r>
    </w:p>
    <w:p w14:paraId="00000029" w14:textId="77777777" w:rsidR="007B2B82" w:rsidRDefault="003A6120">
      <w:pPr>
        <w:spacing w:before="240" w:after="240"/>
      </w:pPr>
      <w:r>
        <w:t>«Els pacients pediàtrics hospitalitzats (…) comptaran amb llocs adaptats i acollidors on es faciliti el dret al lleure i a jugar.»</w:t>
      </w:r>
    </w:p>
    <w:p w14:paraId="0000002A" w14:textId="77777777" w:rsidR="007B2B82" w:rsidRDefault="003A6120">
      <w:pPr>
        <w:spacing w:before="240" w:after="240"/>
      </w:pPr>
      <w:r>
        <w:t>(Es reconeix el dret al joc, però no s’explicita que aquest pugui tenir prioritat en determinades situacions)</w:t>
      </w:r>
    </w:p>
    <w:p w14:paraId="0000002B" w14:textId="77777777" w:rsidR="007B2B82" w:rsidRDefault="007B2B82">
      <w:pPr>
        <w:spacing w:before="240" w:after="240"/>
      </w:pPr>
    </w:p>
    <w:p w14:paraId="0000002C" w14:textId="77777777" w:rsidR="007B2B82" w:rsidRDefault="003A6120">
      <w:pPr>
        <w:spacing w:before="240" w:after="240"/>
      </w:pPr>
      <w:r>
        <w:t>Títol II – Article 10 – apartat 3</w:t>
      </w:r>
    </w:p>
    <w:p w14:paraId="0000002D" w14:textId="77777777" w:rsidR="007B2B82" w:rsidRDefault="003A6120">
      <w:pPr>
        <w:spacing w:before="240" w:after="240"/>
      </w:pPr>
      <w:r>
        <w:t>«També tindran dret a un procés educatiu segons la seva capacitat i desenvolupament evolutiu tant en el centre hospitalari com en el seu domicili.»</w:t>
      </w:r>
    </w:p>
    <w:sectPr w:rsidR="007B2B82">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13EF998-4D28-4151-86D0-DC9881CD068A}"/>
  </w:font>
  <w:font w:name="Cambria">
    <w:panose1 w:val="02040503050406030204"/>
    <w:charset w:val="00"/>
    <w:family w:val="roman"/>
    <w:pitch w:val="variable"/>
    <w:sig w:usb0="E00006FF" w:usb1="420024FF" w:usb2="02000000" w:usb3="00000000" w:csb0="0000019F" w:csb1="00000000"/>
    <w:embedRegular r:id="rId2" w:fontKey="{B44B8F90-87F4-4444-9235-021851239913}"/>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175"/>
    <w:multiLevelType w:val="multilevel"/>
    <w:tmpl w:val="7B608D0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F183447"/>
    <w:multiLevelType w:val="multilevel"/>
    <w:tmpl w:val="86C6E0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B82"/>
    <w:rsid w:val="003A6120"/>
    <w:rsid w:val="005403CE"/>
    <w:rsid w:val="007B2B8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B1336-33F4-441C-8188-CCF42B03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a" w:eastAsia="ca-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840</Words>
  <Characters>4790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Oset López, Sílvia</dc:creator>
  <cp:lastModifiedBy>Gil Albert, Teresa</cp:lastModifiedBy>
  <cp:revision>2</cp:revision>
  <dcterms:created xsi:type="dcterms:W3CDTF">2026-03-12T10:34:00Z</dcterms:created>
  <dcterms:modified xsi:type="dcterms:W3CDTF">2026-03-12T10:34:00Z</dcterms:modified>
</cp:coreProperties>
</file>